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0A" w:rsidRDefault="00720C95" w:rsidP="003E4DBA">
      <w:pPr>
        <w:pStyle w:val="Title"/>
        <w:rPr>
          <w:rFonts w:eastAsia="Times New Roman"/>
          <w:lang w:val="fr-FR"/>
        </w:rPr>
      </w:pPr>
      <w:r>
        <w:rPr>
          <w:rFonts w:eastAsia="Times New Roman"/>
          <w:lang w:val="fr-FR"/>
        </w:rPr>
        <w:t>Urbanisation</w:t>
      </w:r>
      <w:r w:rsidR="001E31F2">
        <w:rPr>
          <w:rFonts w:eastAsia="Times New Roman"/>
          <w:lang w:val="fr-FR"/>
        </w:rPr>
        <w:t xml:space="preserve"> Suisse</w:t>
      </w:r>
      <w:r>
        <w:rPr>
          <w:rFonts w:eastAsia="Times New Roman"/>
          <w:lang w:val="fr-FR"/>
        </w:rPr>
        <w:t> : données</w:t>
      </w:r>
    </w:p>
    <w:p w:rsidR="003E4DBA" w:rsidRDefault="00720C95" w:rsidP="00720C95">
      <w:pPr>
        <w:pStyle w:val="Heading3"/>
        <w:rPr>
          <w:lang w:val="fr-FR"/>
        </w:rPr>
      </w:pPr>
      <w:r>
        <w:rPr>
          <w:noProof/>
          <w:lang w:val="fr-CH" w:eastAsia="fr-CH"/>
        </w:rPr>
        <w:drawing>
          <wp:anchor distT="0" distB="0" distL="114300" distR="114300" simplePos="0" relativeHeight="251658240" behindDoc="1" locked="0" layoutInCell="1" allowOverlap="1" wp14:anchorId="4B1EA813" wp14:editId="7222BC89">
            <wp:simplePos x="0" y="0"/>
            <wp:positionH relativeFrom="column">
              <wp:posOffset>-4445</wp:posOffset>
            </wp:positionH>
            <wp:positionV relativeFrom="paragraph">
              <wp:posOffset>397510</wp:posOffset>
            </wp:positionV>
            <wp:extent cx="3571875" cy="2056765"/>
            <wp:effectExtent l="0" t="0" r="9525" b="635"/>
            <wp:wrapTight wrapText="bothSides">
              <wp:wrapPolygon edited="0">
                <wp:start x="0" y="0"/>
                <wp:lineTo x="0" y="21407"/>
                <wp:lineTo x="21542" y="21407"/>
                <wp:lineTo x="21542" y="0"/>
                <wp:lineTo x="0" y="0"/>
              </wp:wrapPolygon>
            </wp:wrapTight>
            <wp:docPr id="1" name="Picture 1" descr="Surface habitable par personne, en 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 habitable par personne, en 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C95">
        <w:rPr>
          <w:lang w:val="fr-FR"/>
        </w:rPr>
        <w:t xml:space="preserve">Document 1 : </w:t>
      </w:r>
      <w:r>
        <w:rPr>
          <w:lang w:val="fr-FR"/>
        </w:rPr>
        <w:t>évolution de la surface habitable par personne</w:t>
      </w:r>
    </w:p>
    <w:p w:rsidR="00720C95" w:rsidRDefault="00720C95" w:rsidP="00720C95">
      <w:pPr>
        <w:rPr>
          <w:lang w:val="fr-FR"/>
        </w:rPr>
      </w:pPr>
      <w:r w:rsidRPr="00720C95">
        <w:rPr>
          <w:lang w:val="fr-FR"/>
        </w:rPr>
        <w:t>Le logement est un aspect important de la vie, et disposer d'une surface d'habitation suffisante constitue un besoin fondamental. Mais l'expansion des surfaces habitables se fait au détriment des surfaces agricoles, dont il faut rappeler qu'elles sont limitées. Cela conduit en outre à une augmentation de la consommation d'énergie, en particulier dans le domaine du chauffage. Or il faut savoir que le chauffage compte parmi les plus gros émetteurs de gaz à effet de serre, et donc parmi les principaux responsables du réchauffement climatique. Cet indicateur montre l'évolution de la surface moyenne de logement (en mètres carrés) des personnes résidant en Suisse.</w:t>
      </w:r>
      <w:r>
        <w:rPr>
          <w:lang w:val="fr-FR"/>
        </w:rPr>
        <w:t xml:space="preserve"> </w:t>
      </w:r>
      <w:r w:rsidRPr="00720C95">
        <w:rPr>
          <w:lang w:val="fr-FR"/>
        </w:rPr>
        <w:t xml:space="preserve">L'espace consacré au logement ne cesse de croître. La surface habitable moyenne par personne a augmenté de 5 m2 au cours de chacune des deux dernières décennies et s'établissait en 2012 à 45 m2. Cette évolution s'explique notamment par l'augmentation constante du nombre de ménages de petite taille: tandis que la part des ménages composés d'une seule personne est passée de 29 % en 1980 à 35 % en 2012, celle des ménages composés de trois personnes ou plus est passée durant la même période de 41 % à 32 %. </w:t>
      </w:r>
      <w:r w:rsidR="00D15DFB">
        <w:rPr>
          <w:lang w:val="fr-FR"/>
        </w:rPr>
        <w:t xml:space="preserve"> </w:t>
      </w:r>
      <w:r w:rsidR="00D15DFB" w:rsidRPr="00D15DFB">
        <w:rPr>
          <w:i/>
          <w:lang w:val="fr-FR"/>
        </w:rPr>
        <w:t>Source</w:t>
      </w:r>
      <w:r w:rsidR="00D15DFB">
        <w:rPr>
          <w:lang w:val="fr-FR"/>
        </w:rPr>
        <w:t xml:space="preserve"> : </w:t>
      </w:r>
      <w:proofErr w:type="spellStart"/>
      <w:r w:rsidR="00D15DFB">
        <w:rPr>
          <w:lang w:val="fr-FR"/>
        </w:rPr>
        <w:t>OFS</w:t>
      </w:r>
      <w:proofErr w:type="spellEnd"/>
    </w:p>
    <w:p w:rsidR="000D00F5" w:rsidRDefault="000D00F5" w:rsidP="000D00F5">
      <w:pPr>
        <w:pStyle w:val="Heading3"/>
        <w:rPr>
          <w:lang w:val="fr-FR"/>
        </w:rPr>
      </w:pPr>
      <w:r>
        <w:rPr>
          <w:lang w:val="fr-FR"/>
        </w:rPr>
        <w:t>Document 2 : Evolution de la population et du nombre de véhicules en Suisse</w:t>
      </w:r>
    </w:p>
    <w:p w:rsidR="000D00F5" w:rsidRDefault="000D00F5" w:rsidP="000D00F5">
      <w:pPr>
        <w:pStyle w:val="Heading3"/>
        <w:rPr>
          <w:lang w:val="fr-FR"/>
        </w:rPr>
      </w:pPr>
      <w:r w:rsidRPr="002B1F0C">
        <w:rPr>
          <w:noProof/>
          <w:lang w:val="fr-CH" w:eastAsia="fr-CH"/>
        </w:rPr>
        <w:drawing>
          <wp:inline distT="0" distB="0" distL="0" distR="0" wp14:anchorId="608952DD" wp14:editId="0F3CDCBA">
            <wp:extent cx="5505450" cy="2276475"/>
            <wp:effectExtent l="0" t="0" r="19050" b="9525"/>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15DFB" w:rsidRDefault="00D15DFB" w:rsidP="000D00F5">
      <w:pPr>
        <w:pStyle w:val="Heading3"/>
        <w:rPr>
          <w:lang w:val="fr-FR"/>
        </w:rPr>
      </w:pPr>
    </w:p>
    <w:p w:rsidR="00D15DFB" w:rsidRDefault="00D15DFB" w:rsidP="000D00F5">
      <w:pPr>
        <w:pStyle w:val="Heading3"/>
        <w:rPr>
          <w:lang w:val="fr-FR"/>
        </w:rPr>
      </w:pPr>
      <w:r>
        <w:rPr>
          <w:lang w:val="fr-FR"/>
        </w:rPr>
        <w:lastRenderedPageBreak/>
        <w:t>Document 3 : Evolution des moyens de transport, Vaud 1970-2000</w:t>
      </w:r>
    </w:p>
    <w:p w:rsidR="00D15DFB" w:rsidRDefault="002D2A1F" w:rsidP="002D2A1F">
      <w:pPr>
        <w:pStyle w:val="Heading3"/>
        <w:jc w:val="center"/>
        <w:rPr>
          <w:noProof/>
          <w:lang w:val="fr-FR" w:eastAsia="fr-FR"/>
        </w:rPr>
      </w:pPr>
      <w:r>
        <w:rPr>
          <w:noProof/>
          <w:lang w:val="fr-CH" w:eastAsia="fr-CH"/>
        </w:rPr>
        <w:drawing>
          <wp:inline distT="0" distB="0" distL="0" distR="0" wp14:anchorId="07C2E068" wp14:editId="5A27AB0E">
            <wp:extent cx="3333750" cy="3333750"/>
            <wp:effectExtent l="0" t="0" r="0" b="0"/>
            <wp:docPr id="2" name="Picture 2" descr="Graphique: Moyen de transport des personnes actives occupées, Vaud, 1970-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 Moyen de transport des personnes actives occupées, Vaud, 1970-2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2D2A1F" w:rsidRDefault="002D2A1F" w:rsidP="002D2A1F">
      <w:pPr>
        <w:pStyle w:val="Heading3"/>
        <w:rPr>
          <w:noProof/>
          <w:lang w:val="fr-FR" w:eastAsia="fr-FR"/>
        </w:rPr>
      </w:pPr>
      <w:r>
        <w:rPr>
          <w:noProof/>
          <w:lang w:val="fr-FR" w:eastAsia="fr-FR"/>
        </w:rPr>
        <w:t>Document 4 : Donnée sur les communes entourant Vevey</w:t>
      </w:r>
    </w:p>
    <w:p w:rsidR="00F007F8" w:rsidRPr="00F64DFC" w:rsidRDefault="00F007F8" w:rsidP="00F007F8">
      <w:pPr>
        <w:widowControl w:val="0"/>
        <w:autoSpaceDE w:val="0"/>
        <w:autoSpaceDN w:val="0"/>
        <w:adjustRightInd w:val="0"/>
        <w:rPr>
          <w:rFonts w:cs="Verdana"/>
          <w:b/>
          <w:bCs/>
          <w:szCs w:val="20"/>
          <w:lang w:val="fr-FR"/>
        </w:rPr>
      </w:pPr>
      <w:r w:rsidRPr="00F64DFC">
        <w:rPr>
          <w:rFonts w:ascii="MS Mincho" w:eastAsia="MS Mincho" w:hAnsi="MS Mincho" w:cs="MS Mincho" w:hint="eastAsia"/>
          <w:szCs w:val="20"/>
          <w:lang w:val="fr-FR"/>
        </w:rPr>
        <w:t> </w:t>
      </w:r>
      <w:proofErr w:type="spellStart"/>
      <w:r w:rsidR="00F64DFC" w:rsidRPr="00F64DFC">
        <w:rPr>
          <w:rFonts w:eastAsia="MS Mincho" w:cs="MS Mincho"/>
          <w:i/>
          <w:szCs w:val="20"/>
          <w:lang w:val="fr-FR"/>
        </w:rPr>
        <w:t>Evolution</w:t>
      </w:r>
      <w:proofErr w:type="spellEnd"/>
      <w:r w:rsidR="00F64DFC" w:rsidRPr="00F64DFC">
        <w:rPr>
          <w:rFonts w:eastAsia="MS Mincho" w:cs="MS Mincho"/>
          <w:i/>
          <w:szCs w:val="20"/>
          <w:lang w:val="fr-FR"/>
        </w:rPr>
        <w:t xml:space="preserve"> de la population des communes entourant Vevey</w:t>
      </w:r>
    </w:p>
    <w:p w:rsidR="00F007F8" w:rsidRPr="00EE1B9C" w:rsidRDefault="00F007F8" w:rsidP="00EE1B9C">
      <w:pPr>
        <w:widowControl w:val="0"/>
        <w:autoSpaceDE w:val="0"/>
        <w:autoSpaceDN w:val="0"/>
        <w:adjustRightInd w:val="0"/>
        <w:jc w:val="center"/>
        <w:rPr>
          <w:rFonts w:cs="Verdana"/>
          <w:b/>
          <w:bCs/>
          <w:szCs w:val="20"/>
        </w:rPr>
      </w:pPr>
      <w:bookmarkStart w:id="0" w:name="_GoBack"/>
      <w:r>
        <w:rPr>
          <w:noProof/>
          <w:lang w:val="fr-CH" w:eastAsia="fr-CH"/>
        </w:rPr>
        <w:drawing>
          <wp:inline distT="0" distB="0" distL="0" distR="0" wp14:anchorId="4053EDC2" wp14:editId="6ED50BD5">
            <wp:extent cx="5076825" cy="34290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sectPr w:rsidR="00F007F8" w:rsidRPr="00EE1B9C" w:rsidSect="003A2F0A">
      <w:type w:val="continuous"/>
      <w:pgSz w:w="12240" w:h="15840"/>
      <w:pgMar w:top="1417" w:right="260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95"/>
    <w:rsid w:val="000D00F5"/>
    <w:rsid w:val="001E31F2"/>
    <w:rsid w:val="002D2A1F"/>
    <w:rsid w:val="003A2F0A"/>
    <w:rsid w:val="003E4DBA"/>
    <w:rsid w:val="00681D4A"/>
    <w:rsid w:val="00720C95"/>
    <w:rsid w:val="00C80864"/>
    <w:rsid w:val="00D15DFB"/>
    <w:rsid w:val="00EB2093"/>
    <w:rsid w:val="00EE1B9C"/>
    <w:rsid w:val="00F007F8"/>
    <w:rsid w:val="00F6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e normal"/>
    <w:qFormat/>
    <w:rsid w:val="00681D4A"/>
    <w:pPr>
      <w:spacing w:before="120" w:after="120" w:line="240" w:lineRule="auto"/>
      <w:jc w:val="both"/>
    </w:pPr>
    <w:rPr>
      <w:rFonts w:ascii="Palatino Linotype" w:hAnsi="Palatino Linotype"/>
      <w:sz w:val="20"/>
    </w:rPr>
  </w:style>
  <w:style w:type="paragraph" w:styleId="Heading3">
    <w:name w:val="heading 3"/>
    <w:basedOn w:val="Normal"/>
    <w:link w:val="Heading3Char"/>
    <w:uiPriority w:val="9"/>
    <w:qFormat/>
    <w:rsid w:val="003A2F0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re 1"/>
    <w:basedOn w:val="Normal"/>
    <w:next w:val="Normal"/>
    <w:link w:val="TitleChar"/>
    <w:uiPriority w:val="10"/>
    <w:qFormat/>
    <w:rsid w:val="00681D4A"/>
    <w:pPr>
      <w:pBdr>
        <w:bottom w:val="single" w:sz="8" w:space="4" w:color="4F81BD" w:themeColor="accent1"/>
      </w:pBdr>
      <w:spacing w:before="0" w:after="240"/>
      <w:contextualSpacing/>
    </w:pPr>
    <w:rPr>
      <w:rFonts w:asciiTheme="majorHAnsi" w:eastAsiaTheme="majorEastAsia" w:hAnsiTheme="majorHAnsi" w:cstheme="majorBidi"/>
      <w:b/>
      <w:smallCaps/>
      <w:spacing w:val="5"/>
      <w:kern w:val="28"/>
      <w:sz w:val="36"/>
      <w:szCs w:val="52"/>
    </w:rPr>
  </w:style>
  <w:style w:type="character" w:customStyle="1" w:styleId="TitleChar">
    <w:name w:val="Title Char"/>
    <w:aliases w:val="Titre 1 Char"/>
    <w:basedOn w:val="DefaultParagraphFont"/>
    <w:link w:val="Title"/>
    <w:uiPriority w:val="10"/>
    <w:rsid w:val="00681D4A"/>
    <w:rPr>
      <w:rFonts w:asciiTheme="majorHAnsi" w:eastAsiaTheme="majorEastAsia" w:hAnsiTheme="majorHAnsi" w:cstheme="majorBidi"/>
      <w:b/>
      <w:smallCaps/>
      <w:spacing w:val="5"/>
      <w:kern w:val="28"/>
      <w:sz w:val="36"/>
      <w:szCs w:val="52"/>
    </w:rPr>
  </w:style>
  <w:style w:type="paragraph" w:styleId="Subtitle">
    <w:name w:val="Subtitle"/>
    <w:aliases w:val="Titre 2"/>
    <w:basedOn w:val="Normal"/>
    <w:next w:val="Normal"/>
    <w:link w:val="SubtitleChar"/>
    <w:uiPriority w:val="11"/>
    <w:qFormat/>
    <w:rsid w:val="00681D4A"/>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aliases w:val="Titre 2 Char"/>
    <w:basedOn w:val="DefaultParagraphFont"/>
    <w:link w:val="Subtitle"/>
    <w:uiPriority w:val="11"/>
    <w:rsid w:val="00681D4A"/>
    <w:rPr>
      <w:rFonts w:asciiTheme="majorHAnsi" w:eastAsiaTheme="majorEastAsia" w:hAnsiTheme="majorHAnsi" w:cstheme="majorBidi"/>
      <w:i/>
      <w:iCs/>
      <w:spacing w:val="15"/>
      <w:sz w:val="24"/>
      <w:szCs w:val="24"/>
    </w:rPr>
  </w:style>
  <w:style w:type="paragraph" w:styleId="NoSpacing">
    <w:name w:val="No Spacing"/>
    <w:aliases w:val="italique"/>
    <w:uiPriority w:val="1"/>
    <w:qFormat/>
    <w:rsid w:val="00681D4A"/>
    <w:pPr>
      <w:spacing w:before="120" w:after="0" w:line="240" w:lineRule="auto"/>
      <w:jc w:val="both"/>
    </w:pPr>
    <w:rPr>
      <w:rFonts w:ascii="Palatino Linotype" w:hAnsi="Palatino Linotype"/>
      <w:i/>
      <w:sz w:val="20"/>
    </w:rPr>
  </w:style>
  <w:style w:type="character" w:customStyle="1" w:styleId="Heading3Char">
    <w:name w:val="Heading 3 Char"/>
    <w:basedOn w:val="DefaultParagraphFont"/>
    <w:link w:val="Heading3"/>
    <w:uiPriority w:val="9"/>
    <w:rsid w:val="003A2F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F0A"/>
    <w:pPr>
      <w:spacing w:before="100" w:beforeAutospacing="1" w:after="100" w:afterAutospacing="1"/>
      <w:jc w:val="left"/>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A2F0A"/>
  </w:style>
  <w:style w:type="paragraph" w:styleId="BalloonText">
    <w:name w:val="Balloon Text"/>
    <w:basedOn w:val="Normal"/>
    <w:link w:val="BalloonTextChar"/>
    <w:uiPriority w:val="99"/>
    <w:semiHidden/>
    <w:unhideWhenUsed/>
    <w:rsid w:val="00720C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e normal"/>
    <w:qFormat/>
    <w:rsid w:val="00681D4A"/>
    <w:pPr>
      <w:spacing w:before="120" w:after="120" w:line="240" w:lineRule="auto"/>
      <w:jc w:val="both"/>
    </w:pPr>
    <w:rPr>
      <w:rFonts w:ascii="Palatino Linotype" w:hAnsi="Palatino Linotype"/>
      <w:sz w:val="20"/>
    </w:rPr>
  </w:style>
  <w:style w:type="paragraph" w:styleId="Heading3">
    <w:name w:val="heading 3"/>
    <w:basedOn w:val="Normal"/>
    <w:link w:val="Heading3Char"/>
    <w:uiPriority w:val="9"/>
    <w:qFormat/>
    <w:rsid w:val="003A2F0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re 1"/>
    <w:basedOn w:val="Normal"/>
    <w:next w:val="Normal"/>
    <w:link w:val="TitleChar"/>
    <w:uiPriority w:val="10"/>
    <w:qFormat/>
    <w:rsid w:val="00681D4A"/>
    <w:pPr>
      <w:pBdr>
        <w:bottom w:val="single" w:sz="8" w:space="4" w:color="4F81BD" w:themeColor="accent1"/>
      </w:pBdr>
      <w:spacing w:before="0" w:after="240"/>
      <w:contextualSpacing/>
    </w:pPr>
    <w:rPr>
      <w:rFonts w:asciiTheme="majorHAnsi" w:eastAsiaTheme="majorEastAsia" w:hAnsiTheme="majorHAnsi" w:cstheme="majorBidi"/>
      <w:b/>
      <w:smallCaps/>
      <w:spacing w:val="5"/>
      <w:kern w:val="28"/>
      <w:sz w:val="36"/>
      <w:szCs w:val="52"/>
    </w:rPr>
  </w:style>
  <w:style w:type="character" w:customStyle="1" w:styleId="TitleChar">
    <w:name w:val="Title Char"/>
    <w:aliases w:val="Titre 1 Char"/>
    <w:basedOn w:val="DefaultParagraphFont"/>
    <w:link w:val="Title"/>
    <w:uiPriority w:val="10"/>
    <w:rsid w:val="00681D4A"/>
    <w:rPr>
      <w:rFonts w:asciiTheme="majorHAnsi" w:eastAsiaTheme="majorEastAsia" w:hAnsiTheme="majorHAnsi" w:cstheme="majorBidi"/>
      <w:b/>
      <w:smallCaps/>
      <w:spacing w:val="5"/>
      <w:kern w:val="28"/>
      <w:sz w:val="36"/>
      <w:szCs w:val="52"/>
    </w:rPr>
  </w:style>
  <w:style w:type="paragraph" w:styleId="Subtitle">
    <w:name w:val="Subtitle"/>
    <w:aliases w:val="Titre 2"/>
    <w:basedOn w:val="Normal"/>
    <w:next w:val="Normal"/>
    <w:link w:val="SubtitleChar"/>
    <w:uiPriority w:val="11"/>
    <w:qFormat/>
    <w:rsid w:val="00681D4A"/>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aliases w:val="Titre 2 Char"/>
    <w:basedOn w:val="DefaultParagraphFont"/>
    <w:link w:val="Subtitle"/>
    <w:uiPriority w:val="11"/>
    <w:rsid w:val="00681D4A"/>
    <w:rPr>
      <w:rFonts w:asciiTheme="majorHAnsi" w:eastAsiaTheme="majorEastAsia" w:hAnsiTheme="majorHAnsi" w:cstheme="majorBidi"/>
      <w:i/>
      <w:iCs/>
      <w:spacing w:val="15"/>
      <w:sz w:val="24"/>
      <w:szCs w:val="24"/>
    </w:rPr>
  </w:style>
  <w:style w:type="paragraph" w:styleId="NoSpacing">
    <w:name w:val="No Spacing"/>
    <w:aliases w:val="italique"/>
    <w:uiPriority w:val="1"/>
    <w:qFormat/>
    <w:rsid w:val="00681D4A"/>
    <w:pPr>
      <w:spacing w:before="120" w:after="0" w:line="240" w:lineRule="auto"/>
      <w:jc w:val="both"/>
    </w:pPr>
    <w:rPr>
      <w:rFonts w:ascii="Palatino Linotype" w:hAnsi="Palatino Linotype"/>
      <w:i/>
      <w:sz w:val="20"/>
    </w:rPr>
  </w:style>
  <w:style w:type="character" w:customStyle="1" w:styleId="Heading3Char">
    <w:name w:val="Heading 3 Char"/>
    <w:basedOn w:val="DefaultParagraphFont"/>
    <w:link w:val="Heading3"/>
    <w:uiPriority w:val="9"/>
    <w:rsid w:val="003A2F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F0A"/>
    <w:pPr>
      <w:spacing w:before="100" w:beforeAutospacing="1" w:after="100" w:afterAutospacing="1"/>
      <w:jc w:val="left"/>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A2F0A"/>
  </w:style>
  <w:style w:type="paragraph" w:styleId="BalloonText">
    <w:name w:val="Balloon Text"/>
    <w:basedOn w:val="Normal"/>
    <w:link w:val="BalloonTextChar"/>
    <w:uiPriority w:val="99"/>
    <w:semiHidden/>
    <w:unhideWhenUsed/>
    <w:rsid w:val="00720C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5882">
      <w:bodyDiv w:val="1"/>
      <w:marLeft w:val="0"/>
      <w:marRight w:val="0"/>
      <w:marTop w:val="0"/>
      <w:marBottom w:val="0"/>
      <w:divBdr>
        <w:top w:val="none" w:sz="0" w:space="0" w:color="auto"/>
        <w:left w:val="none" w:sz="0" w:space="0" w:color="auto"/>
        <w:bottom w:val="none" w:sz="0" w:space="0" w:color="auto"/>
        <w:right w:val="none" w:sz="0" w:space="0" w:color="auto"/>
      </w:divBdr>
    </w:div>
    <w:div w:id="7089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b_000\AppData\Roaming\Microsoft\Templates\mod&#232;le%20de%20documen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AppData\Local\Temp\bestand.Document.4897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b_000\AppData\Local\Temp\T22.01.02_A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véhicules motorisés</c:v>
          </c:tx>
          <c:spPr>
            <a:ln cmpd="sng">
              <a:solidFill>
                <a:schemeClr val="tx1"/>
              </a:solidFill>
            </a:ln>
          </c:spPr>
          <c:marker>
            <c:symbol val="none"/>
          </c:marker>
          <c:cat>
            <c:numRef>
              <c:f>'1910-1989'!$P$25:$V$25</c:f>
              <c:numCache>
                <c:formatCode>General</c:formatCode>
                <c:ptCount val="7"/>
                <c:pt idx="0">
                  <c:v>1950</c:v>
                </c:pt>
                <c:pt idx="1">
                  <c:v>1960</c:v>
                </c:pt>
                <c:pt idx="2">
                  <c:v>1970</c:v>
                </c:pt>
                <c:pt idx="3">
                  <c:v>1980</c:v>
                </c:pt>
                <c:pt idx="4">
                  <c:v>1990</c:v>
                </c:pt>
                <c:pt idx="5">
                  <c:v>2000</c:v>
                </c:pt>
                <c:pt idx="6">
                  <c:v>2008</c:v>
                </c:pt>
              </c:numCache>
            </c:numRef>
          </c:cat>
          <c:val>
            <c:numRef>
              <c:f>'1910-1989'!$P$26:$V$26</c:f>
              <c:numCache>
                <c:formatCode>#,##0</c:formatCode>
                <c:ptCount val="7"/>
                <c:pt idx="0">
                  <c:v>251952</c:v>
                </c:pt>
                <c:pt idx="1">
                  <c:v>858882</c:v>
                </c:pt>
                <c:pt idx="2">
                  <c:v>1666143</c:v>
                </c:pt>
                <c:pt idx="3">
                  <c:v>2702266</c:v>
                </c:pt>
                <c:pt idx="4">
                  <c:v>3776829</c:v>
                </c:pt>
                <c:pt idx="5">
                  <c:v>4584718</c:v>
                </c:pt>
                <c:pt idx="6">
                  <c:v>5601727</c:v>
                </c:pt>
              </c:numCache>
            </c:numRef>
          </c:val>
          <c:smooth val="0"/>
        </c:ser>
        <c:ser>
          <c:idx val="2"/>
          <c:order val="1"/>
          <c:tx>
            <c:v>Population résidente</c:v>
          </c:tx>
          <c:spPr>
            <a:ln cmpd="dbl">
              <a:solidFill>
                <a:schemeClr val="tx1"/>
              </a:solidFill>
              <a:prstDash val="sysDot"/>
            </a:ln>
          </c:spPr>
          <c:marker>
            <c:symbol val="none"/>
          </c:marker>
          <c:cat>
            <c:numRef>
              <c:f>'1910-1989'!$P$25:$V$25</c:f>
              <c:numCache>
                <c:formatCode>General</c:formatCode>
                <c:ptCount val="7"/>
                <c:pt idx="0">
                  <c:v>1950</c:v>
                </c:pt>
                <c:pt idx="1">
                  <c:v>1960</c:v>
                </c:pt>
                <c:pt idx="2">
                  <c:v>1970</c:v>
                </c:pt>
                <c:pt idx="3">
                  <c:v>1980</c:v>
                </c:pt>
                <c:pt idx="4">
                  <c:v>1990</c:v>
                </c:pt>
                <c:pt idx="5">
                  <c:v>2000</c:v>
                </c:pt>
                <c:pt idx="6">
                  <c:v>2008</c:v>
                </c:pt>
              </c:numCache>
            </c:numRef>
          </c:cat>
          <c:val>
            <c:numRef>
              <c:f>'1910-1989'!$P$27:$V$27</c:f>
              <c:numCache>
                <c:formatCode>#\ ###\ ##0\ ;\-#\ ###\ ##0\ ;\-\ ;@\ </c:formatCode>
                <c:ptCount val="7"/>
                <c:pt idx="0">
                  <c:v>4668000</c:v>
                </c:pt>
                <c:pt idx="1">
                  <c:v>5295500</c:v>
                </c:pt>
                <c:pt idx="2">
                  <c:v>6168700</c:v>
                </c:pt>
                <c:pt idx="3">
                  <c:v>6303573</c:v>
                </c:pt>
                <c:pt idx="4">
                  <c:v>6673850</c:v>
                </c:pt>
                <c:pt idx="5">
                  <c:v>7164444</c:v>
                </c:pt>
                <c:pt idx="6">
                  <c:v>7593494</c:v>
                </c:pt>
              </c:numCache>
            </c:numRef>
          </c:val>
          <c:smooth val="1"/>
        </c:ser>
        <c:dLbls>
          <c:showLegendKey val="0"/>
          <c:showVal val="0"/>
          <c:showCatName val="0"/>
          <c:showSerName val="0"/>
          <c:showPercent val="0"/>
          <c:showBubbleSize val="0"/>
        </c:dLbls>
        <c:marker val="1"/>
        <c:smooth val="0"/>
        <c:axId val="237289472"/>
        <c:axId val="237291008"/>
      </c:lineChart>
      <c:catAx>
        <c:axId val="237289472"/>
        <c:scaling>
          <c:orientation val="minMax"/>
        </c:scaling>
        <c:delete val="0"/>
        <c:axPos val="b"/>
        <c:numFmt formatCode="General" sourceLinked="1"/>
        <c:majorTickMark val="none"/>
        <c:minorTickMark val="none"/>
        <c:tickLblPos val="nextTo"/>
        <c:txPr>
          <a:bodyPr rot="-5400000" vert="horz"/>
          <a:lstStyle/>
          <a:p>
            <a:pPr>
              <a:defRPr/>
            </a:pPr>
            <a:endParaRPr lang="fr-FR"/>
          </a:p>
        </c:txPr>
        <c:crossAx val="237291008"/>
        <c:crosses val="autoZero"/>
        <c:auto val="1"/>
        <c:lblAlgn val="ctr"/>
        <c:lblOffset val="100"/>
        <c:tickLblSkip val="1"/>
        <c:noMultiLvlLbl val="0"/>
      </c:catAx>
      <c:valAx>
        <c:axId val="237291008"/>
        <c:scaling>
          <c:orientation val="minMax"/>
        </c:scaling>
        <c:delete val="0"/>
        <c:axPos val="l"/>
        <c:majorGridlines/>
        <c:numFmt formatCode="#,##0" sourceLinked="0"/>
        <c:majorTickMark val="none"/>
        <c:minorTickMark val="none"/>
        <c:tickLblPos val="nextTo"/>
        <c:crossAx val="237289472"/>
        <c:crosses val="autoZero"/>
        <c:crossBetween val="between"/>
        <c:dispUnits>
          <c:builtInUnit val="millions"/>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Blonay</c:v>
          </c:tx>
          <c:marker>
            <c:symbol val="none"/>
          </c:marker>
          <c:cat>
            <c:numRef>
              <c:f>Serie!$C$7:$N$7</c:f>
              <c:numCache>
                <c:formatCode>General</c:formatCode>
                <c:ptCount val="12"/>
                <c:pt idx="0">
                  <c:v>1900</c:v>
                </c:pt>
                <c:pt idx="1">
                  <c:v>1910</c:v>
                </c:pt>
                <c:pt idx="2">
                  <c:v>1920</c:v>
                </c:pt>
                <c:pt idx="3">
                  <c:v>1930</c:v>
                </c:pt>
                <c:pt idx="4">
                  <c:v>1941</c:v>
                </c:pt>
                <c:pt idx="5">
                  <c:v>1950</c:v>
                </c:pt>
                <c:pt idx="6">
                  <c:v>1960</c:v>
                </c:pt>
                <c:pt idx="7">
                  <c:v>1970</c:v>
                </c:pt>
                <c:pt idx="8">
                  <c:v>1980</c:v>
                </c:pt>
                <c:pt idx="9">
                  <c:v>1990</c:v>
                </c:pt>
                <c:pt idx="10">
                  <c:v>2000</c:v>
                </c:pt>
                <c:pt idx="11" formatCode="@">
                  <c:v>2010</c:v>
                </c:pt>
              </c:numCache>
            </c:numRef>
          </c:cat>
          <c:val>
            <c:numRef>
              <c:f>Serie!$C$326:$N$326</c:f>
              <c:numCache>
                <c:formatCode>#,##0</c:formatCode>
                <c:ptCount val="12"/>
                <c:pt idx="0">
                  <c:v>1048</c:v>
                </c:pt>
                <c:pt idx="1">
                  <c:v>1177</c:v>
                </c:pt>
                <c:pt idx="2">
                  <c:v>1108</c:v>
                </c:pt>
                <c:pt idx="3">
                  <c:v>1247</c:v>
                </c:pt>
                <c:pt idx="4">
                  <c:v>1282</c:v>
                </c:pt>
                <c:pt idx="5">
                  <c:v>1351</c:v>
                </c:pt>
                <c:pt idx="6">
                  <c:v>1482</c:v>
                </c:pt>
                <c:pt idx="7">
                  <c:v>2116</c:v>
                </c:pt>
                <c:pt idx="8">
                  <c:v>3109</c:v>
                </c:pt>
                <c:pt idx="9">
                  <c:v>4239</c:v>
                </c:pt>
                <c:pt idx="10">
                  <c:v>4695</c:v>
                </c:pt>
                <c:pt idx="11">
                  <c:v>5805</c:v>
                </c:pt>
              </c:numCache>
            </c:numRef>
          </c:val>
          <c:smooth val="0"/>
        </c:ser>
        <c:ser>
          <c:idx val="3"/>
          <c:order val="1"/>
          <c:tx>
            <c:v>Corseaux</c:v>
          </c:tx>
          <c:marker>
            <c:symbol val="none"/>
          </c:marker>
          <c:cat>
            <c:numRef>
              <c:f>Serie!$C$7:$N$7</c:f>
              <c:numCache>
                <c:formatCode>General</c:formatCode>
                <c:ptCount val="12"/>
                <c:pt idx="0">
                  <c:v>1900</c:v>
                </c:pt>
                <c:pt idx="1">
                  <c:v>1910</c:v>
                </c:pt>
                <c:pt idx="2">
                  <c:v>1920</c:v>
                </c:pt>
                <c:pt idx="3">
                  <c:v>1930</c:v>
                </c:pt>
                <c:pt idx="4">
                  <c:v>1941</c:v>
                </c:pt>
                <c:pt idx="5">
                  <c:v>1950</c:v>
                </c:pt>
                <c:pt idx="6">
                  <c:v>1960</c:v>
                </c:pt>
                <c:pt idx="7">
                  <c:v>1970</c:v>
                </c:pt>
                <c:pt idx="8">
                  <c:v>1980</c:v>
                </c:pt>
                <c:pt idx="9">
                  <c:v>1990</c:v>
                </c:pt>
                <c:pt idx="10">
                  <c:v>2000</c:v>
                </c:pt>
                <c:pt idx="11" formatCode="@">
                  <c:v>2010</c:v>
                </c:pt>
              </c:numCache>
            </c:numRef>
          </c:cat>
          <c:val>
            <c:numRef>
              <c:f>Serie!$C$329:$N$329</c:f>
              <c:numCache>
                <c:formatCode>#,##0</c:formatCode>
                <c:ptCount val="12"/>
                <c:pt idx="0">
                  <c:v>456</c:v>
                </c:pt>
                <c:pt idx="1">
                  <c:v>662</c:v>
                </c:pt>
                <c:pt idx="2">
                  <c:v>674</c:v>
                </c:pt>
                <c:pt idx="3">
                  <c:v>976</c:v>
                </c:pt>
                <c:pt idx="4">
                  <c:v>1082</c:v>
                </c:pt>
                <c:pt idx="5">
                  <c:v>1221</c:v>
                </c:pt>
                <c:pt idx="6">
                  <c:v>1252</c:v>
                </c:pt>
                <c:pt idx="7">
                  <c:v>1546</c:v>
                </c:pt>
                <c:pt idx="8">
                  <c:v>1901</c:v>
                </c:pt>
                <c:pt idx="9">
                  <c:v>2146</c:v>
                </c:pt>
                <c:pt idx="10">
                  <c:v>2079</c:v>
                </c:pt>
                <c:pt idx="11">
                  <c:v>2153</c:v>
                </c:pt>
              </c:numCache>
            </c:numRef>
          </c:val>
          <c:smooth val="0"/>
        </c:ser>
        <c:ser>
          <c:idx val="9"/>
          <c:order val="2"/>
          <c:tx>
            <c:v>Saint-Légier</c:v>
          </c:tx>
          <c:marker>
            <c:symbol val="none"/>
          </c:marker>
          <c:cat>
            <c:numRef>
              <c:f>Serie!$C$7:$N$7</c:f>
              <c:numCache>
                <c:formatCode>General</c:formatCode>
                <c:ptCount val="12"/>
                <c:pt idx="0">
                  <c:v>1900</c:v>
                </c:pt>
                <c:pt idx="1">
                  <c:v>1910</c:v>
                </c:pt>
                <c:pt idx="2">
                  <c:v>1920</c:v>
                </c:pt>
                <c:pt idx="3">
                  <c:v>1930</c:v>
                </c:pt>
                <c:pt idx="4">
                  <c:v>1941</c:v>
                </c:pt>
                <c:pt idx="5">
                  <c:v>1950</c:v>
                </c:pt>
                <c:pt idx="6">
                  <c:v>1960</c:v>
                </c:pt>
                <c:pt idx="7">
                  <c:v>1970</c:v>
                </c:pt>
                <c:pt idx="8">
                  <c:v>1980</c:v>
                </c:pt>
                <c:pt idx="9">
                  <c:v>1990</c:v>
                </c:pt>
                <c:pt idx="10">
                  <c:v>2000</c:v>
                </c:pt>
                <c:pt idx="11" formatCode="@">
                  <c:v>2010</c:v>
                </c:pt>
              </c:numCache>
            </c:numRef>
          </c:cat>
          <c:val>
            <c:numRef>
              <c:f>Serie!$C$335:$N$335</c:f>
              <c:numCache>
                <c:formatCode>#,##0</c:formatCode>
                <c:ptCount val="12"/>
                <c:pt idx="0">
                  <c:v>1101</c:v>
                </c:pt>
                <c:pt idx="1">
                  <c:v>1255</c:v>
                </c:pt>
                <c:pt idx="2">
                  <c:v>1184</c:v>
                </c:pt>
                <c:pt idx="3">
                  <c:v>1245</c:v>
                </c:pt>
                <c:pt idx="4">
                  <c:v>1187</c:v>
                </c:pt>
                <c:pt idx="5">
                  <c:v>1397</c:v>
                </c:pt>
                <c:pt idx="6">
                  <c:v>1585</c:v>
                </c:pt>
                <c:pt idx="7">
                  <c:v>2230</c:v>
                </c:pt>
                <c:pt idx="8">
                  <c:v>2787</c:v>
                </c:pt>
                <c:pt idx="9">
                  <c:v>3578</c:v>
                </c:pt>
                <c:pt idx="10">
                  <c:v>4068</c:v>
                </c:pt>
                <c:pt idx="11">
                  <c:v>4925</c:v>
                </c:pt>
              </c:numCache>
            </c:numRef>
          </c:val>
          <c:smooth val="0"/>
        </c:ser>
        <c:ser>
          <c:idx val="10"/>
          <c:order val="3"/>
          <c:tx>
            <c:v>La Tour-de-Peilz</c:v>
          </c:tx>
          <c:marker>
            <c:symbol val="none"/>
          </c:marker>
          <c:cat>
            <c:numRef>
              <c:f>Serie!$C$7:$N$7</c:f>
              <c:numCache>
                <c:formatCode>General</c:formatCode>
                <c:ptCount val="12"/>
                <c:pt idx="0">
                  <c:v>1900</c:v>
                </c:pt>
                <c:pt idx="1">
                  <c:v>1910</c:v>
                </c:pt>
                <c:pt idx="2">
                  <c:v>1920</c:v>
                </c:pt>
                <c:pt idx="3">
                  <c:v>1930</c:v>
                </c:pt>
                <c:pt idx="4">
                  <c:v>1941</c:v>
                </c:pt>
                <c:pt idx="5">
                  <c:v>1950</c:v>
                </c:pt>
                <c:pt idx="6">
                  <c:v>1960</c:v>
                </c:pt>
                <c:pt idx="7">
                  <c:v>1970</c:v>
                </c:pt>
                <c:pt idx="8">
                  <c:v>1980</c:v>
                </c:pt>
                <c:pt idx="9">
                  <c:v>1990</c:v>
                </c:pt>
                <c:pt idx="10">
                  <c:v>2000</c:v>
                </c:pt>
                <c:pt idx="11" formatCode="@">
                  <c:v>2010</c:v>
                </c:pt>
              </c:numCache>
            </c:numRef>
          </c:cat>
          <c:val>
            <c:numRef>
              <c:f>Serie!$C$336:$N$336</c:f>
              <c:numCache>
                <c:formatCode>#,##0</c:formatCode>
                <c:ptCount val="12"/>
                <c:pt idx="0">
                  <c:v>2417</c:v>
                </c:pt>
                <c:pt idx="1">
                  <c:v>3348</c:v>
                </c:pt>
                <c:pt idx="2">
                  <c:v>3480</c:v>
                </c:pt>
                <c:pt idx="3">
                  <c:v>4266</c:v>
                </c:pt>
                <c:pt idx="4">
                  <c:v>4481</c:v>
                </c:pt>
                <c:pt idx="5">
                  <c:v>5015</c:v>
                </c:pt>
                <c:pt idx="6">
                  <c:v>6820</c:v>
                </c:pt>
                <c:pt idx="7">
                  <c:v>8864</c:v>
                </c:pt>
                <c:pt idx="8">
                  <c:v>9411</c:v>
                </c:pt>
                <c:pt idx="9">
                  <c:v>10197</c:v>
                </c:pt>
                <c:pt idx="10">
                  <c:v>10230</c:v>
                </c:pt>
                <c:pt idx="11">
                  <c:v>10786</c:v>
                </c:pt>
              </c:numCache>
            </c:numRef>
          </c:val>
          <c:smooth val="0"/>
        </c:ser>
        <c:dLbls>
          <c:showLegendKey val="0"/>
          <c:showVal val="0"/>
          <c:showCatName val="0"/>
          <c:showSerName val="0"/>
          <c:showPercent val="0"/>
          <c:showBubbleSize val="0"/>
        </c:dLbls>
        <c:marker val="1"/>
        <c:smooth val="0"/>
        <c:axId val="237445120"/>
        <c:axId val="237446656"/>
      </c:lineChart>
      <c:catAx>
        <c:axId val="237445120"/>
        <c:scaling>
          <c:orientation val="minMax"/>
        </c:scaling>
        <c:delete val="0"/>
        <c:axPos val="b"/>
        <c:numFmt formatCode="General" sourceLinked="1"/>
        <c:majorTickMark val="out"/>
        <c:minorTickMark val="none"/>
        <c:tickLblPos val="nextTo"/>
        <c:crossAx val="237446656"/>
        <c:crosses val="autoZero"/>
        <c:auto val="1"/>
        <c:lblAlgn val="ctr"/>
        <c:lblOffset val="100"/>
        <c:noMultiLvlLbl val="0"/>
      </c:catAx>
      <c:valAx>
        <c:axId val="237446656"/>
        <c:scaling>
          <c:orientation val="minMax"/>
        </c:scaling>
        <c:delete val="0"/>
        <c:axPos val="l"/>
        <c:majorGridlines/>
        <c:numFmt formatCode="#,##0" sourceLinked="1"/>
        <c:majorTickMark val="out"/>
        <c:minorTickMark val="none"/>
        <c:tickLblPos val="nextTo"/>
        <c:crossAx val="237445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de document.dotx</Template>
  <TotalTime>0</TotalTime>
  <Pages>2</Pages>
  <Words>236</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marc.bertholet@gmail.com</dc:creator>
  <cp:lastModifiedBy>marcb</cp:lastModifiedBy>
  <cp:revision>2</cp:revision>
  <dcterms:created xsi:type="dcterms:W3CDTF">2021-04-27T05:14:00Z</dcterms:created>
  <dcterms:modified xsi:type="dcterms:W3CDTF">2021-04-27T05:14:00Z</dcterms:modified>
</cp:coreProperties>
</file>